
<file path=[Content_Types].xml><?xml version="1.0" encoding="utf-8"?>
<Types xmlns="http://schemas.openxmlformats.org/package/2006/content-types">
  <Override PartName="/word/theme/themeOverride2.xml" ContentType="application/vnd.openxmlformats-officedocument.themeOverride+xml"/>
  <Override PartName="/word/theme/themeOverride1.xml" ContentType="application/vnd.openxmlformats-officedocument.themeOverrid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56F6" w:rsidRDefault="006256F6" w:rsidP="006256F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Информационно-статистический  обзор обращений граждан, поступивших в администрацию </w:t>
      </w:r>
      <w:proofErr w:type="spellStart"/>
      <w:r>
        <w:rPr>
          <w:rFonts w:ascii="Times New Roman" w:hAnsi="Times New Roman"/>
          <w:b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  </w:t>
      </w:r>
      <w:proofErr w:type="spellStart"/>
      <w:r>
        <w:rPr>
          <w:rFonts w:ascii="Times New Roman" w:hAnsi="Times New Roman"/>
          <w:b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 за     </w:t>
      </w:r>
      <w:r w:rsidR="008D6957">
        <w:rPr>
          <w:rFonts w:ascii="Times New Roman" w:hAnsi="Times New Roman"/>
          <w:b/>
          <w:sz w:val="28"/>
          <w:szCs w:val="28"/>
        </w:rPr>
        <w:t>ноябрь</w:t>
      </w:r>
      <w:r>
        <w:rPr>
          <w:rFonts w:ascii="Times New Roman" w:hAnsi="Times New Roman"/>
          <w:b/>
          <w:sz w:val="28"/>
          <w:szCs w:val="28"/>
        </w:rPr>
        <w:t xml:space="preserve">   2020 года, и результаты их рассмотрения</w:t>
      </w:r>
    </w:p>
    <w:p w:rsidR="006256F6" w:rsidRDefault="006256F6" w:rsidP="006256F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6256F6" w:rsidRDefault="006256F6" w:rsidP="006256F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</w:rPr>
      </w:pPr>
      <w:r>
        <w:rPr>
          <w:rFonts w:ascii="Times New Roman" w:hAnsi="Times New Roman"/>
          <w:sz w:val="28"/>
          <w:szCs w:val="20"/>
        </w:rPr>
        <w:t xml:space="preserve">Рассмотрение обращений граждан, организаций и общественных объединений (далее – граждан), адресованных Главе администрации </w:t>
      </w:r>
      <w:proofErr w:type="spellStart"/>
      <w:r>
        <w:rPr>
          <w:rFonts w:ascii="Times New Roman" w:hAnsi="Times New Roman"/>
          <w:sz w:val="28"/>
          <w:szCs w:val="20"/>
        </w:rPr>
        <w:t>Доволенского</w:t>
      </w:r>
      <w:proofErr w:type="spellEnd"/>
      <w:r>
        <w:rPr>
          <w:rFonts w:ascii="Times New Roman" w:hAnsi="Times New Roman"/>
          <w:sz w:val="28"/>
          <w:szCs w:val="20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0"/>
        </w:rPr>
        <w:t>Доволенского</w:t>
      </w:r>
      <w:proofErr w:type="spellEnd"/>
      <w:r>
        <w:rPr>
          <w:rFonts w:ascii="Times New Roman" w:hAnsi="Times New Roman"/>
          <w:sz w:val="28"/>
          <w:szCs w:val="20"/>
        </w:rPr>
        <w:t xml:space="preserve">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 </w:t>
      </w:r>
      <w:proofErr w:type="spellStart"/>
      <w:r>
        <w:rPr>
          <w:rFonts w:ascii="Times New Roman" w:hAnsi="Times New Roman"/>
          <w:sz w:val="28"/>
          <w:szCs w:val="20"/>
        </w:rPr>
        <w:t>Доволенского</w:t>
      </w:r>
      <w:proofErr w:type="spellEnd"/>
      <w:r>
        <w:rPr>
          <w:rFonts w:ascii="Times New Roman" w:hAnsi="Times New Roman"/>
          <w:sz w:val="28"/>
          <w:szCs w:val="20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0"/>
        </w:rPr>
        <w:t>Доволенского</w:t>
      </w:r>
      <w:proofErr w:type="spellEnd"/>
      <w:r>
        <w:rPr>
          <w:rFonts w:ascii="Times New Roman" w:hAnsi="Times New Roman"/>
          <w:sz w:val="28"/>
          <w:szCs w:val="20"/>
        </w:rPr>
        <w:t xml:space="preserve"> района. Организацию работы по объективному, всестороннему и своевременному рассмотрению обращений осуществляют специалист администрации </w:t>
      </w:r>
      <w:proofErr w:type="spellStart"/>
      <w:r>
        <w:rPr>
          <w:rFonts w:ascii="Times New Roman" w:hAnsi="Times New Roman"/>
          <w:sz w:val="28"/>
          <w:szCs w:val="20"/>
        </w:rPr>
        <w:t>Доволенского</w:t>
      </w:r>
      <w:proofErr w:type="spellEnd"/>
      <w:r>
        <w:rPr>
          <w:rFonts w:ascii="Times New Roman" w:hAnsi="Times New Roman"/>
          <w:sz w:val="28"/>
          <w:szCs w:val="20"/>
        </w:rPr>
        <w:t xml:space="preserve"> сельсовета  </w:t>
      </w:r>
      <w:proofErr w:type="spellStart"/>
      <w:r>
        <w:rPr>
          <w:rFonts w:ascii="Times New Roman" w:hAnsi="Times New Roman"/>
          <w:sz w:val="28"/>
          <w:szCs w:val="20"/>
        </w:rPr>
        <w:t>Доволенского</w:t>
      </w:r>
      <w:proofErr w:type="spellEnd"/>
      <w:r>
        <w:rPr>
          <w:rFonts w:ascii="Times New Roman" w:hAnsi="Times New Roman"/>
          <w:sz w:val="28"/>
          <w:szCs w:val="20"/>
        </w:rPr>
        <w:t xml:space="preserve"> района Новосибирской области.</w:t>
      </w:r>
    </w:p>
    <w:p w:rsidR="006256F6" w:rsidRDefault="006256F6" w:rsidP="006256F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56F6" w:rsidRDefault="006256F6" w:rsidP="006256F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   </w:t>
      </w:r>
      <w:r w:rsidR="008D6957">
        <w:rPr>
          <w:rFonts w:ascii="Times New Roman" w:hAnsi="Times New Roman"/>
          <w:sz w:val="28"/>
          <w:szCs w:val="28"/>
        </w:rPr>
        <w:t>ноябре</w:t>
      </w:r>
      <w:r>
        <w:rPr>
          <w:rFonts w:ascii="Times New Roman" w:hAnsi="Times New Roman"/>
          <w:sz w:val="28"/>
          <w:szCs w:val="28"/>
        </w:rPr>
        <w:t xml:space="preserve">  2020 года Главе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</w:t>
      </w:r>
      <w:proofErr w:type="spellStart"/>
      <w:r>
        <w:rPr>
          <w:rFonts w:ascii="Times New Roman" w:hAnsi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поступило       обращений-  1    (в     сентябре  2020 – 0 </w:t>
      </w:r>
      <w:proofErr w:type="spellStart"/>
      <w:r>
        <w:rPr>
          <w:rFonts w:ascii="Times New Roman" w:hAnsi="Times New Roman"/>
          <w:sz w:val="28"/>
          <w:szCs w:val="28"/>
        </w:rPr>
        <w:t>обращениий</w:t>
      </w:r>
      <w:proofErr w:type="spellEnd"/>
      <w:r>
        <w:rPr>
          <w:rFonts w:ascii="Times New Roman" w:hAnsi="Times New Roman"/>
          <w:sz w:val="28"/>
          <w:szCs w:val="28"/>
        </w:rPr>
        <w:t xml:space="preserve"> ; за     октябрь     2019– 3  обращения</w:t>
      </w:r>
      <w:proofErr w:type="gramStart"/>
      <w:r>
        <w:rPr>
          <w:rFonts w:ascii="Times New Roman" w:hAnsi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/>
          <w:sz w:val="28"/>
          <w:szCs w:val="28"/>
        </w:rPr>
        <w:t xml:space="preserve"> в том числе):</w:t>
      </w:r>
    </w:p>
    <w:p w:rsidR="006256F6" w:rsidRDefault="006256F6" w:rsidP="006256F6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письменных обращений – 0 </w:t>
      </w:r>
      <w:proofErr w:type="gramStart"/>
      <w:r>
        <w:rPr>
          <w:rFonts w:ascii="Times New Roman" w:hAnsi="Times New Roman"/>
          <w:sz w:val="28"/>
          <w:szCs w:val="28"/>
        </w:rPr>
        <w:t xml:space="preserve">(  </w:t>
      </w:r>
      <w:proofErr w:type="gramEnd"/>
      <w:r>
        <w:rPr>
          <w:rFonts w:ascii="Times New Roman" w:hAnsi="Times New Roman"/>
          <w:sz w:val="28"/>
          <w:szCs w:val="28"/>
        </w:rPr>
        <w:t>в  сентябре   2020-  0 обращений ; за   октябрь  2019 – 0 обращений  );</w:t>
      </w:r>
    </w:p>
    <w:p w:rsidR="006256F6" w:rsidRDefault="006256F6" w:rsidP="006256F6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устных обращений по справочному телефону – 0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в   сентябре 2020 – 0 обращений;  октябрь   2019 года  – 3  обращения);</w:t>
      </w:r>
    </w:p>
    <w:p w:rsidR="006256F6" w:rsidRDefault="006256F6" w:rsidP="006256F6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обращений на личном приеме граждан Главой сельсовета, - 0 </w:t>
      </w:r>
      <w:proofErr w:type="gramStart"/>
      <w:r>
        <w:rPr>
          <w:rFonts w:ascii="Times New Roman" w:hAnsi="Times New Roman"/>
          <w:sz w:val="28"/>
          <w:szCs w:val="28"/>
        </w:rPr>
        <w:t xml:space="preserve">(  </w:t>
      </w:r>
      <w:proofErr w:type="gramEnd"/>
      <w:r>
        <w:rPr>
          <w:rFonts w:ascii="Times New Roman" w:hAnsi="Times New Roman"/>
          <w:sz w:val="28"/>
          <w:szCs w:val="28"/>
        </w:rPr>
        <w:t>в   сентябре 2020-  0  обращений ; за   октябрь    2019 года   –  0).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256F6" w:rsidRDefault="006256F6" w:rsidP="006256F6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Calibri" w:hAnsi="Calibri"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posOffset>6985</wp:posOffset>
            </wp:positionV>
            <wp:extent cx="5233670" cy="2070735"/>
            <wp:effectExtent l="0" t="0" r="0" b="0"/>
            <wp:wrapSquare wrapText="right"/>
            <wp:docPr id="3" name="Объект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anchor>
        </w:drawing>
      </w:r>
      <w:r>
        <w:rPr>
          <w:rFonts w:ascii="Times New Roman" w:hAnsi="Times New Roman"/>
          <w:sz w:val="28"/>
          <w:szCs w:val="28"/>
        </w:rPr>
        <w:br w:type="textWrapping" w:clear="all"/>
      </w:r>
    </w:p>
    <w:p w:rsidR="006256F6" w:rsidRDefault="006256F6" w:rsidP="006256F6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Письменные обращения граждан.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видам обращения подразделяются: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заявления –0  (в сентябре  2020г – 0</w:t>
      </w:r>
      <w:proofErr w:type="gramStart"/>
      <w:r>
        <w:rPr>
          <w:rFonts w:ascii="Times New Roman" w:hAnsi="Times New Roman"/>
          <w:sz w:val="28"/>
          <w:szCs w:val="28"/>
        </w:rPr>
        <w:t xml:space="preserve"> ;</w:t>
      </w:r>
      <w:proofErr w:type="gramEnd"/>
      <w:r>
        <w:rPr>
          <w:rFonts w:ascii="Times New Roman" w:hAnsi="Times New Roman"/>
          <w:sz w:val="28"/>
          <w:szCs w:val="28"/>
        </w:rPr>
        <w:t xml:space="preserve"> в  октябре   2019 –3 );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жалобы – 0 (в   сентябре 2020 -0;в  октябре  2019 – 0);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запросы – 0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в сентябре  2020- 0; в  октябре   2019 – 0);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предложения – 0 (в сентябре 2020- 0; в  октябре   2019 – 0);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иные – 0 (в сентябре  2020- 0; в  октябре   2019 – 0).</w:t>
      </w:r>
      <w:bookmarkStart w:id="0" w:name="_MON_1530446487"/>
      <w:bookmarkEnd w:id="0"/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bookmarkStart w:id="1" w:name="_MON_1530446015"/>
      <w:bookmarkEnd w:id="1"/>
      <w:r>
        <w:rPr>
          <w:rFonts w:ascii="Calibri" w:eastAsia="Calibri" w:hAnsi="Calibri" w:cs="Times New Roman"/>
          <w:noProof/>
        </w:rPr>
        <w:drawing>
          <wp:inline distT="0" distB="0" distL="0" distR="0">
            <wp:extent cx="6467475" cy="4381500"/>
            <wp:effectExtent l="0" t="0" r="0" b="0"/>
            <wp:docPr id="4" name="Объект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r>
        <w:rPr>
          <w:rFonts w:ascii="Times New Roman" w:hAnsi="Times New Roman"/>
          <w:sz w:val="28"/>
          <w:szCs w:val="28"/>
        </w:rPr>
        <w:t xml:space="preserve">     Вопросы, поднимаемые гражданами в письменных обращениях, относятся к следующим тематическим блокам: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«Г</w:t>
      </w:r>
      <w:r>
        <w:rPr>
          <w:rFonts w:ascii="Times New Roman" w:hAnsi="Times New Roman"/>
          <w:b/>
          <w:sz w:val="28"/>
          <w:szCs w:val="28"/>
        </w:rPr>
        <w:t>осударство, общество, политика»</w:t>
      </w:r>
      <w:r>
        <w:rPr>
          <w:rFonts w:ascii="Times New Roman" w:hAnsi="Times New Roman"/>
          <w:sz w:val="28"/>
          <w:szCs w:val="28"/>
        </w:rPr>
        <w:t xml:space="preserve"> –0 обращений </w:t>
      </w:r>
      <w:proofErr w:type="gramStart"/>
      <w:r>
        <w:rPr>
          <w:rFonts w:ascii="Times New Roman" w:hAnsi="Times New Roman"/>
          <w:sz w:val="28"/>
          <w:szCs w:val="28"/>
        </w:rPr>
        <w:t xml:space="preserve">(  </w:t>
      </w:r>
      <w:proofErr w:type="gramEnd"/>
      <w:r>
        <w:rPr>
          <w:rFonts w:ascii="Times New Roman" w:hAnsi="Times New Roman"/>
          <w:sz w:val="28"/>
          <w:szCs w:val="28"/>
        </w:rPr>
        <w:t>в сентябре  2020- 0; в  октябре   2019 – 0);  (конституционный строй, уведомления о публичных мероприятиях, территориальные общественные самоуправления, присвоение почетных званий, гражданское право);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«С</w:t>
      </w:r>
      <w:r>
        <w:rPr>
          <w:rFonts w:ascii="Times New Roman" w:hAnsi="Times New Roman"/>
          <w:b/>
          <w:sz w:val="28"/>
          <w:szCs w:val="28"/>
        </w:rPr>
        <w:t>оциальная сфера»</w:t>
      </w:r>
      <w:r>
        <w:rPr>
          <w:rFonts w:ascii="Times New Roman" w:hAnsi="Times New Roman"/>
          <w:sz w:val="28"/>
          <w:szCs w:val="28"/>
        </w:rPr>
        <w:t xml:space="preserve"> – 0 обращений (в сентябре  2020- 0; в  октябре   2019 – 0);  (семья, труд и занятость населения, социальное обеспечение, образование);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«Э</w:t>
      </w:r>
      <w:r>
        <w:rPr>
          <w:rFonts w:ascii="Times New Roman" w:hAnsi="Times New Roman"/>
          <w:b/>
          <w:sz w:val="28"/>
          <w:szCs w:val="28"/>
        </w:rPr>
        <w:t>кономика»</w:t>
      </w:r>
      <w:r>
        <w:rPr>
          <w:rFonts w:ascii="Times New Roman" w:hAnsi="Times New Roman"/>
          <w:sz w:val="28"/>
          <w:szCs w:val="28"/>
        </w:rPr>
        <w:t xml:space="preserve"> – 0 обращений (в сентябре  2020- 0; в  октябре   2019 – 0); (градостроительство, благоустройство города, использование земель, транспортное обслуживание населения, дорожное хозяйство,</w:t>
      </w:r>
      <w:r>
        <w:t xml:space="preserve"> </w:t>
      </w:r>
      <w:r>
        <w:rPr>
          <w:rFonts w:ascii="Times New Roman" w:hAnsi="Times New Roman"/>
          <w:sz w:val="28"/>
          <w:szCs w:val="28"/>
        </w:rPr>
        <w:t>информация и информатизация);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«Б</w:t>
      </w:r>
      <w:r>
        <w:rPr>
          <w:rFonts w:ascii="Times New Roman" w:hAnsi="Times New Roman"/>
          <w:b/>
          <w:sz w:val="28"/>
          <w:szCs w:val="28"/>
        </w:rPr>
        <w:t>езопасность и охрана правопорядка»</w:t>
      </w:r>
      <w:r>
        <w:rPr>
          <w:rFonts w:ascii="Times New Roman" w:hAnsi="Times New Roman"/>
          <w:sz w:val="28"/>
          <w:szCs w:val="28"/>
        </w:rPr>
        <w:t xml:space="preserve"> – 0 обращений (в сентябре 2020- 0; в  октябре   2019 – 0); (оборона; безопасность и охрана правопорядка; правосудие);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Ж</w:t>
      </w:r>
      <w:r>
        <w:rPr>
          <w:rFonts w:ascii="Times New Roman" w:hAnsi="Times New Roman"/>
          <w:b/>
          <w:sz w:val="28"/>
          <w:szCs w:val="28"/>
        </w:rPr>
        <w:t>илищно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– коммунальная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сфера»</w:t>
      </w:r>
      <w:r>
        <w:rPr>
          <w:rFonts w:ascii="Times New Roman" w:hAnsi="Times New Roman"/>
          <w:sz w:val="28"/>
          <w:szCs w:val="28"/>
        </w:rPr>
        <w:t xml:space="preserve"> – 1 обращение (в сентябре  2020- 0; в  октябре   2019 – 3); (ненадлежащее содержание общего имущества в многоквартирном доме, оплата и предоставление </w:t>
      </w:r>
      <w:proofErr w:type="spellStart"/>
      <w:r>
        <w:rPr>
          <w:rFonts w:ascii="Times New Roman" w:hAnsi="Times New Roman"/>
          <w:sz w:val="28"/>
          <w:szCs w:val="28"/>
        </w:rPr>
        <w:t>жилищно</w:t>
      </w:r>
      <w:proofErr w:type="spellEnd"/>
      <w:r>
        <w:rPr>
          <w:rFonts w:ascii="Times New Roman" w:hAnsi="Times New Roman"/>
          <w:sz w:val="28"/>
          <w:szCs w:val="28"/>
        </w:rPr>
        <w:t>–коммунальных услуг, улучшение жилищных условий).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По результатам рассмотрения письменных обращений граждан в   октябре   2020 года:   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поддержано</w:t>
      </w:r>
      <w:r>
        <w:rPr>
          <w:rFonts w:ascii="Times New Roman" w:hAnsi="Times New Roman"/>
          <w:sz w:val="28"/>
          <w:szCs w:val="28"/>
        </w:rPr>
        <w:t xml:space="preserve"> (предложение признано целесообразным, заявление или жалоба – обоснованными и подлежащими удовлетворению) – 0 обращений (в  сентябре 2020 г -0 обращений; в  октябре     2019 – 0 обращений);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даны разъяснения</w:t>
      </w:r>
      <w:r>
        <w:rPr>
          <w:rFonts w:ascii="Times New Roman" w:hAnsi="Times New Roman"/>
          <w:sz w:val="28"/>
          <w:szCs w:val="28"/>
        </w:rPr>
        <w:t xml:space="preserve"> – 3 обращений (в  сентябре 2020г -0 обращений; в    октябре 2019 – 3 обращения);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взято на контроль – </w:t>
      </w:r>
      <w:r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обращений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в  сентябре 2020 г –0  обращений ; в   октябре     2019 – 0 обращений).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  <w:t xml:space="preserve">    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6256F6" w:rsidRDefault="006256F6" w:rsidP="006256F6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Устные обращения граждан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118"/>
        <w:rPr>
          <w:rFonts w:ascii="Times New Roman" w:hAnsi="Times New Roman"/>
          <w:b/>
          <w:sz w:val="28"/>
          <w:szCs w:val="28"/>
        </w:rPr>
      </w:pP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В  октябре   2020 года по справочному телефону 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 </w:t>
      </w:r>
      <w:proofErr w:type="spellStart"/>
      <w:r>
        <w:rPr>
          <w:rFonts w:ascii="Times New Roman" w:hAnsi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поступило 0 обращений (в  сентябре   2020 – 0 обращений;  октябре 2019 – 3  обращения).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6256F6" w:rsidRDefault="006256F6" w:rsidP="006256F6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Личный прием граждан Главой администрации </w:t>
      </w:r>
      <w:proofErr w:type="spellStart"/>
      <w:r>
        <w:rPr>
          <w:rFonts w:ascii="Times New Roman" w:hAnsi="Times New Roman"/>
          <w:b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  </w:t>
      </w:r>
      <w:proofErr w:type="spellStart"/>
      <w:r>
        <w:rPr>
          <w:rFonts w:ascii="Times New Roman" w:hAnsi="Times New Roman"/>
          <w:b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 Новосибирской области 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В  октябре      2020 года Главой  администрации  </w:t>
      </w:r>
      <w:proofErr w:type="spellStart"/>
      <w:r>
        <w:rPr>
          <w:rFonts w:ascii="Times New Roman" w:hAnsi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принято 0  человек 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в  сентябре  2020- 0 обращений; в  октябре  2019 – 0 обращений).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видам обращений, заявленных на личных приемах: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заявления – 0 (в октябре 2020 – 0 обращений</w:t>
      </w:r>
      <w:proofErr w:type="gramStart"/>
      <w:r>
        <w:rPr>
          <w:rFonts w:ascii="Times New Roman" w:hAnsi="Times New Roman"/>
          <w:sz w:val="28"/>
          <w:szCs w:val="28"/>
        </w:rPr>
        <w:t xml:space="preserve"> ;</w:t>
      </w:r>
      <w:proofErr w:type="gramEnd"/>
      <w:r>
        <w:rPr>
          <w:rFonts w:ascii="Times New Roman" w:hAnsi="Times New Roman"/>
          <w:sz w:val="28"/>
          <w:szCs w:val="28"/>
        </w:rPr>
        <w:t xml:space="preserve"> в   октябре     2019 – 0);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жалобы – 0 (в  октябре  2020- 0 обращений</w:t>
      </w:r>
      <w:proofErr w:type="gramStart"/>
      <w:r>
        <w:rPr>
          <w:rFonts w:ascii="Times New Roman" w:hAnsi="Times New Roman"/>
          <w:sz w:val="28"/>
          <w:szCs w:val="28"/>
        </w:rPr>
        <w:t xml:space="preserve"> ;</w:t>
      </w:r>
      <w:proofErr w:type="gramEnd"/>
      <w:r>
        <w:rPr>
          <w:rFonts w:ascii="Times New Roman" w:hAnsi="Times New Roman"/>
          <w:sz w:val="28"/>
          <w:szCs w:val="28"/>
        </w:rPr>
        <w:t xml:space="preserve">     октябре  2019 – 0);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предложения – 0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в  октябре 2020г – 0 обращений ; в  октябре     2019 – 0);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запросы – 0 (в   октябре  2020 – 0 обращений</w:t>
      </w:r>
      <w:proofErr w:type="gramStart"/>
      <w:r>
        <w:rPr>
          <w:rFonts w:ascii="Times New Roman" w:hAnsi="Times New Roman"/>
          <w:sz w:val="28"/>
          <w:szCs w:val="28"/>
        </w:rPr>
        <w:t xml:space="preserve"> ;</w:t>
      </w:r>
      <w:proofErr w:type="gramEnd"/>
      <w:r>
        <w:rPr>
          <w:rFonts w:ascii="Times New Roman" w:hAnsi="Times New Roman"/>
          <w:sz w:val="28"/>
          <w:szCs w:val="28"/>
        </w:rPr>
        <w:t xml:space="preserve">   октябре    2019 – 0).</w:t>
      </w:r>
      <w:bookmarkStart w:id="2" w:name="_MON_1530447940"/>
      <w:bookmarkEnd w:id="2"/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Вопросы, поднимаемые гражданами на личных приемах, относятся к следующим тематическим блокам: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«Государство, общество, политика»: 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общественные организации - 0 обращений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в   сентябре  2020 – 0 обращений ; в   октябре    2019 – 0 обращений).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«Социальная сфера»: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социальное обеспечение – 0  обращений 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в  сентябре  2020 – 0 обращений; в  октябре       2019 – 0 обращений);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«Экономика»: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хозяйственная деятельность - 0 обращений </w:t>
      </w:r>
      <w:proofErr w:type="gramStart"/>
      <w:r>
        <w:rPr>
          <w:rFonts w:ascii="Times New Roman" w:hAnsi="Times New Roman"/>
          <w:sz w:val="28"/>
          <w:szCs w:val="28"/>
        </w:rPr>
        <w:t xml:space="preserve">(  </w:t>
      </w:r>
      <w:proofErr w:type="gramEnd"/>
      <w:r>
        <w:rPr>
          <w:rFonts w:ascii="Times New Roman" w:hAnsi="Times New Roman"/>
          <w:sz w:val="28"/>
          <w:szCs w:val="28"/>
        </w:rPr>
        <w:t>в  сентябре  2020  – 0 обращений ; в   октябре    2019– 0 обращений);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«Оборона, безопасность, законность»: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безопасность и охрана правопорядка - 0 обращений ( в  сентябре 2020 – 0 обращений </w:t>
      </w:r>
      <w:proofErr w:type="gramStart"/>
      <w:r>
        <w:rPr>
          <w:rFonts w:ascii="Times New Roman" w:hAnsi="Times New Roman"/>
          <w:sz w:val="28"/>
          <w:szCs w:val="28"/>
        </w:rPr>
        <w:t>;в</w:t>
      </w:r>
      <w:proofErr w:type="gramEnd"/>
      <w:r>
        <w:rPr>
          <w:rFonts w:ascii="Times New Roman" w:hAnsi="Times New Roman"/>
          <w:sz w:val="28"/>
          <w:szCs w:val="28"/>
        </w:rPr>
        <w:t xml:space="preserve">   октябре    2019 – 0 обращений).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«</w:t>
      </w:r>
      <w:proofErr w:type="spellStart"/>
      <w:r>
        <w:rPr>
          <w:rFonts w:ascii="Times New Roman" w:hAnsi="Times New Roman"/>
          <w:b/>
          <w:sz w:val="28"/>
          <w:szCs w:val="28"/>
        </w:rPr>
        <w:t>Жилищно</w:t>
      </w:r>
      <w:proofErr w:type="spellEnd"/>
      <w:r>
        <w:rPr>
          <w:rFonts w:ascii="Times New Roman" w:hAnsi="Times New Roman"/>
          <w:b/>
          <w:sz w:val="28"/>
          <w:szCs w:val="28"/>
        </w:rPr>
        <w:t>–коммунальная сфера»: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уличное освещение -1 обращение ( в  сентябре  2020 – 0 обращений </w:t>
      </w:r>
      <w:proofErr w:type="gramStart"/>
      <w:r>
        <w:rPr>
          <w:rFonts w:ascii="Times New Roman" w:hAnsi="Times New Roman"/>
          <w:sz w:val="28"/>
          <w:szCs w:val="28"/>
        </w:rPr>
        <w:t>;в</w:t>
      </w:r>
      <w:proofErr w:type="gramEnd"/>
      <w:r>
        <w:rPr>
          <w:rFonts w:ascii="Times New Roman" w:hAnsi="Times New Roman"/>
          <w:sz w:val="28"/>
          <w:szCs w:val="28"/>
        </w:rPr>
        <w:t xml:space="preserve">   октябре   2019 – 0 обращений);</w:t>
      </w:r>
    </w:p>
    <w:p w:rsidR="006256F6" w:rsidRDefault="006256F6" w:rsidP="006256F6">
      <w:pPr>
        <w:rPr>
          <w:rFonts w:ascii="Calibri" w:hAnsi="Calibri"/>
          <w:b/>
        </w:rPr>
      </w:pPr>
      <w:r>
        <w:rPr>
          <w:rFonts w:ascii="Times New Roman" w:hAnsi="Times New Roman"/>
          <w:sz w:val="28"/>
          <w:szCs w:val="28"/>
        </w:rPr>
        <w:t>По результатам рассмотрения устных обращений: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поддержано </w:t>
      </w:r>
      <w:r>
        <w:rPr>
          <w:rFonts w:ascii="Times New Roman" w:hAnsi="Times New Roman"/>
          <w:sz w:val="28"/>
          <w:szCs w:val="28"/>
        </w:rPr>
        <w:t xml:space="preserve">(предложение признано целесообразным, заявление или жалоба – обоснованными и подлежащими удовлетворению) – 0 обращений (в  сентябре 2020 – 0 обращений </w:t>
      </w:r>
      <w:proofErr w:type="gramStart"/>
      <w:r>
        <w:rPr>
          <w:rFonts w:ascii="Times New Roman" w:hAnsi="Times New Roman"/>
          <w:sz w:val="28"/>
          <w:szCs w:val="28"/>
        </w:rPr>
        <w:t>;в</w:t>
      </w:r>
      <w:proofErr w:type="gramEnd"/>
      <w:r>
        <w:rPr>
          <w:rFonts w:ascii="Times New Roman" w:hAnsi="Times New Roman"/>
          <w:sz w:val="28"/>
          <w:szCs w:val="28"/>
        </w:rPr>
        <w:t xml:space="preserve">  октябре    2019 – 0 обращений);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 даны разъяснения – 0</w:t>
      </w:r>
      <w:r>
        <w:rPr>
          <w:rFonts w:ascii="Times New Roman" w:hAnsi="Times New Roman"/>
          <w:sz w:val="28"/>
          <w:szCs w:val="28"/>
        </w:rPr>
        <w:t xml:space="preserve"> обращений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в   сентябре 2020 – 0 обращений; в   сентябре     2019 – 0  обращений );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взято на контроль – </w:t>
      </w:r>
      <w:r>
        <w:rPr>
          <w:rFonts w:ascii="Times New Roman" w:hAnsi="Times New Roman"/>
          <w:sz w:val="28"/>
          <w:szCs w:val="28"/>
        </w:rPr>
        <w:t xml:space="preserve">0 обращений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в   сентябре 2020 -0 обращений; в   октябре     2019 –0 обращений).</w:t>
      </w: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256F6" w:rsidRDefault="006256F6" w:rsidP="006256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256F6" w:rsidRDefault="006256F6" w:rsidP="006256F6">
      <w:pPr>
        <w:rPr>
          <w:rFonts w:ascii="Calibri" w:hAnsi="Calibri"/>
        </w:rPr>
      </w:pPr>
    </w:p>
    <w:p w:rsidR="006256F6" w:rsidRDefault="006256F6" w:rsidP="006256F6"/>
    <w:p w:rsidR="00236560" w:rsidRPr="006256F6" w:rsidRDefault="00236560" w:rsidP="006256F6"/>
    <w:sectPr w:rsidR="00236560" w:rsidRPr="006256F6" w:rsidSect="00F42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67928FA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9822B65"/>
    <w:multiLevelType w:val="hybridMultilevel"/>
    <w:tmpl w:val="DF7C2FA4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C227F"/>
    <w:rsid w:val="001B6545"/>
    <w:rsid w:val="00236560"/>
    <w:rsid w:val="00252BA7"/>
    <w:rsid w:val="00404390"/>
    <w:rsid w:val="006256F6"/>
    <w:rsid w:val="008042DB"/>
    <w:rsid w:val="008D6957"/>
    <w:rsid w:val="00AC227F"/>
    <w:rsid w:val="00D57074"/>
    <w:rsid w:val="00F427C5"/>
    <w:rsid w:val="00F529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7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C22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C227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87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022">
                <a:latin typeface="Times New Roman" pitchFamily="18" charset="0"/>
                <a:cs typeface="Times New Roman" pitchFamily="18" charset="0"/>
              </a:defRPr>
            </a:pPr>
            <a:r>
              <a:rPr lang="ru-RU" sz="730" baseline="0">
                <a:latin typeface="Times New Roman" pitchFamily="18" charset="0"/>
                <a:cs typeface="Times New Roman" pitchFamily="18" charset="0"/>
              </a:rPr>
              <a:t>Количество обращений, поступивших в адрес Главы администрации Доволенского сельсовета  Доволенского района Новосибирской области </a:t>
            </a:r>
            <a:endParaRPr lang="ru-RU" sz="100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4157598188093273"/>
          <c:y val="1.2678737095948021E-4"/>
        </c:manualLayout>
      </c:layout>
    </c:title>
    <c:view3D>
      <c:depthPercent val="100"/>
      <c:rAngAx val="1"/>
    </c:view3D>
    <c:plotArea>
      <c:layout>
        <c:manualLayout>
          <c:layoutTarget val="inner"/>
          <c:xMode val="edge"/>
          <c:yMode val="edge"/>
          <c:x val="6.7651492065364499E-2"/>
          <c:y val="0.15552530480060991"/>
          <c:w val="0.91003257083501155"/>
          <c:h val="0.71652379138091549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авг.20</c:v>
                </c:pt>
              </c:strCache>
            </c:strRef>
          </c:tx>
          <c:spPr>
            <a:solidFill>
              <a:srgbClr val="00B050"/>
            </a:solidFill>
          </c:spPr>
          <c:dLbls>
            <c:dLbl>
              <c:idx val="0"/>
              <c:layout>
                <c:manualLayout>
                  <c:x val="3.0080509599221501E-4"/>
                  <c:y val="-1.0152204919794456E-2"/>
                </c:manualLayout>
              </c:layout>
              <c:tx>
                <c:rich>
                  <a:bodyPr/>
                  <a:lstStyle/>
                  <a:p>
                    <a:pPr>
                      <a:defRPr sz="584" b="1" i="0" u="none" strike="noStrike" baseline="0">
                        <a:solidFill>
                          <a:srgbClr val="000000"/>
                        </a:solidFill>
                        <a:latin typeface="Times New Roman"/>
                        <a:ea typeface="Times New Roman"/>
                        <a:cs typeface="Times New Roman"/>
                      </a:defRPr>
                    </a:pPr>
                    <a:r>
                      <a:rPr lang="ru-RU"/>
                      <a:t>1</a:t>
                    </a:r>
                  </a:p>
                </c:rich>
              </c:tx>
              <c:numFmt formatCode="\О\с\н\о\в\н\о\й" sourceLinked="0"/>
              <c:spPr>
                <a:noFill/>
                <a:ln w="18541">
                  <a:noFill/>
                </a:ln>
              </c:spPr>
            </c:dLbl>
            <c:dLbl>
              <c:idx val="1"/>
              <c:layout>
                <c:manualLayout>
                  <c:x val="-5.6405870614487765E-3"/>
                  <c:y val="0"/>
                </c:manualLayout>
              </c:layout>
              <c:showVal val="1"/>
            </c:dLbl>
            <c:dLbl>
              <c:idx val="2"/>
              <c:layout>
                <c:manualLayout>
                  <c:x val="-1.6295247738227485E-3"/>
                  <c:y val="-9.9255583126551146E-3"/>
                </c:manualLayout>
              </c:layout>
              <c:showVal val="1"/>
            </c:dLbl>
            <c:dLbl>
              <c:idx val="3"/>
              <c:layout>
                <c:manualLayout>
                  <c:x val="-4.161628672820477E-3"/>
                  <c:y val="6.6170388751033912E-3"/>
                </c:manualLayout>
              </c:layout>
              <c:showVal val="1"/>
            </c:dLbl>
            <c:dLbl>
              <c:idx val="4"/>
              <c:layout>
                <c:manualLayout>
                  <c:x val="-8.4733322192404297E-3"/>
                  <c:y val="-6.8285757084335331E-3"/>
                </c:manualLayout>
              </c:layout>
              <c:showVal val="1"/>
            </c:dLbl>
            <c:dLbl>
              <c:idx val="5"/>
              <c:layout>
                <c:manualLayout>
                  <c:x val="-6.2421972534332133E-3"/>
                  <c:y val="-6.6170388751033912E-3"/>
                </c:manualLayout>
              </c:layout>
              <c:showVal val="1"/>
            </c:dLbl>
            <c:numFmt formatCode="\О\с\н\о\в\н\о\й" sourceLinked="0"/>
            <c:spPr>
              <a:noFill/>
              <a:ln w="18541">
                <a:noFill/>
              </a:ln>
            </c:spPr>
            <c:txPr>
              <a:bodyPr/>
              <a:lstStyle/>
              <a:p>
                <a:pPr>
                  <a:defRPr sz="584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июл.20</c:v>
                </c:pt>
              </c:strCache>
            </c:strRef>
          </c:tx>
          <c:spPr>
            <a:solidFill>
              <a:schemeClr val="tx2">
                <a:lumMod val="75000"/>
              </a:schemeClr>
            </a:solidFill>
          </c:spPr>
          <c:dLbls>
            <c:dLbl>
              <c:idx val="0"/>
              <c:layout>
                <c:manualLayout>
                  <c:x val="6.3308331776879964E-3"/>
                  <c:y val="6.4140989820441075E-3"/>
                </c:manualLayout>
              </c:layout>
              <c:tx>
                <c:rich>
                  <a:bodyPr/>
                  <a:lstStyle/>
                  <a:p>
                    <a:r>
                      <a:rPr lang="ru-RU" i="0"/>
                      <a:t>1</a:t>
                    </a:r>
                    <a:endParaRPr lang="en-US" i="0"/>
                  </a:p>
                </c:rich>
              </c:tx>
            </c:dLbl>
            <c:dLbl>
              <c:idx val="1"/>
              <c:layout>
                <c:manualLayout>
                  <c:x val="4.4978226036352193E-3"/>
                  <c:y val="-1.9851116625310215E-2"/>
                </c:manualLayout>
              </c:layout>
              <c:showVal val="1"/>
            </c:dLbl>
            <c:dLbl>
              <c:idx val="2"/>
              <c:layout>
                <c:manualLayout>
                  <c:x val="8.924539863228673E-3"/>
                  <c:y val="-1.0136834632643629E-2"/>
                </c:manualLayout>
              </c:layout>
              <c:showVal val="1"/>
            </c:dLbl>
            <c:dLbl>
              <c:idx val="3"/>
              <c:layout>
                <c:manualLayout>
                  <c:x val="6.6226272277762274E-3"/>
                  <c:y val="-3.3085194375517013E-3"/>
                </c:manualLayout>
              </c:layout>
              <c:showVal val="1"/>
            </c:dLbl>
            <c:dLbl>
              <c:idx val="4"/>
              <c:layout>
                <c:manualLayout>
                  <c:x val="7.1446125414098526E-3"/>
                  <c:y val="-1.9851116625310267E-2"/>
                </c:manualLayout>
              </c:layout>
              <c:showVal val="1"/>
            </c:dLbl>
            <c:dLbl>
              <c:idx val="5"/>
              <c:layout>
                <c:manualLayout>
                  <c:x val="1.0403662089055202E-2"/>
                  <c:y val="-6.6170388751034485E-3"/>
                </c:manualLayout>
              </c:layout>
              <c:showVal val="1"/>
            </c:dLbl>
            <c:spPr>
              <a:noFill/>
              <a:ln w="18541">
                <a:noFill/>
              </a:ln>
            </c:spPr>
            <c:txPr>
              <a:bodyPr/>
              <a:lstStyle/>
              <a:p>
                <a:pPr>
                  <a:defRPr sz="584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авг.19</c:v>
                </c:pt>
              </c:strCache>
            </c:strRef>
          </c:tx>
          <c:spPr>
            <a:solidFill>
              <a:srgbClr val="FF0000"/>
            </a:solidFill>
          </c:spPr>
          <c:dLbls>
            <c:dLbl>
              <c:idx val="0"/>
              <c:layout>
                <c:manualLayout>
                  <c:x val="2.2888056595921802E-2"/>
                  <c:y val="-9.9255583126551146E-3"/>
                </c:manualLayout>
              </c:layout>
              <c:showVal val="1"/>
            </c:dLbl>
            <c:dLbl>
              <c:idx val="1"/>
              <c:layout>
                <c:manualLayout>
                  <c:x val="1.6645859342488557E-2"/>
                  <c:y val="-6.6170388751033912E-3"/>
                </c:manualLayout>
              </c:layout>
              <c:showVal val="1"/>
            </c:dLbl>
            <c:dLbl>
              <c:idx val="2"/>
              <c:layout>
                <c:manualLayout>
                  <c:x val="1.8726591760299581E-2"/>
                  <c:y val="9.9255583126551146E-3"/>
                </c:manualLayout>
              </c:layout>
              <c:showVal val="1"/>
            </c:dLbl>
            <c:dLbl>
              <c:idx val="3"/>
              <c:layout>
                <c:manualLayout>
                  <c:x val="1.8726591760299581E-2"/>
                  <c:y val="3.308519437551641E-3"/>
                </c:manualLayout>
              </c:layout>
              <c:showVal val="1"/>
            </c:dLbl>
            <c:dLbl>
              <c:idx val="4"/>
              <c:layout>
                <c:manualLayout>
                  <c:x val="1.6645859342488627E-2"/>
                  <c:y val="9.9255583126551146E-3"/>
                </c:manualLayout>
              </c:layout>
              <c:showVal val="1"/>
            </c:dLbl>
            <c:dLbl>
              <c:idx val="5"/>
              <c:layout>
                <c:manualLayout>
                  <c:x val="1.8726591760299501E-2"/>
                  <c:y val="3.3085194375517013E-3"/>
                </c:manualLayout>
              </c:layout>
              <c:showVal val="1"/>
            </c:dLbl>
            <c:spPr>
              <a:noFill/>
              <a:ln w="1854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84"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3</c:v>
                </c:pt>
              </c:numCache>
            </c:numRef>
          </c:val>
        </c:ser>
        <c:shape val="cylinder"/>
        <c:axId val="128084608"/>
        <c:axId val="128099072"/>
        <c:axId val="0"/>
      </c:bar3DChart>
      <c:catAx>
        <c:axId val="128084608"/>
        <c:scaling>
          <c:orientation val="minMax"/>
        </c:scaling>
        <c:axPos val="b"/>
        <c:numFmt formatCode="\О\с\н\о\в\н\о\й" sourceLinked="0"/>
        <c:tickLblPos val="nextTo"/>
        <c:txPr>
          <a:bodyPr/>
          <a:lstStyle/>
          <a:p>
            <a:pPr>
              <a:defRPr sz="584" b="1" i="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28099072"/>
        <c:crosses val="autoZero"/>
        <c:auto val="1"/>
        <c:lblAlgn val="ctr"/>
        <c:lblOffset val="100"/>
      </c:catAx>
      <c:valAx>
        <c:axId val="128099072"/>
        <c:scaling>
          <c:orientation val="minMax"/>
        </c:scaling>
        <c:axPos val="l"/>
        <c:majorGridlines>
          <c:spPr>
            <a:ln>
              <a:solidFill>
                <a:schemeClr val="bg1">
                  <a:lumMod val="50000"/>
                </a:schemeClr>
              </a:solidFill>
            </a:ln>
          </c:spPr>
        </c:majorGridlines>
        <c:numFmt formatCode="General" sourceLinked="1"/>
        <c:tickLblPos val="nextTo"/>
        <c:crossAx val="128084608"/>
        <c:crosses val="autoZero"/>
        <c:crossBetween val="between"/>
      </c:valAx>
      <c:spPr>
        <a:noFill/>
        <a:ln w="18541">
          <a:noFill/>
        </a:ln>
      </c:spPr>
    </c:plotArea>
    <c:legend>
      <c:legendPos val="r"/>
      <c:layout>
        <c:manualLayout>
          <c:xMode val="edge"/>
          <c:yMode val="edge"/>
          <c:x val="8.5578573136696021E-2"/>
          <c:y val="0.93384194248436192"/>
          <c:w val="0.86687802797547486"/>
          <c:h val="5.0890108446482792E-2"/>
        </c:manualLayout>
      </c:layout>
      <c:txPr>
        <a:bodyPr/>
        <a:lstStyle/>
        <a:p>
          <a:pPr>
            <a:defRPr sz="657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827">
                <a:latin typeface="Times New Roman" pitchFamily="18" charset="0"/>
                <a:cs typeface="Times New Roman" pitchFamily="18" charset="0"/>
              </a:defRPr>
            </a:pPr>
            <a:r>
              <a:rPr lang="ru-RU" sz="827" b="1" i="0" baseline="0">
                <a:effectLst/>
              </a:rPr>
              <a:t>Структура и количество обращений, поступивших в администрацию Доволенского сельсовета  Доволенского района Новосибирской области </a:t>
            </a:r>
            <a:endParaRPr lang="ru-RU" sz="110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4798097014484884"/>
          <c:y val="3.3838977254792E-3"/>
        </c:manualLayout>
      </c:layout>
    </c:title>
    <c:view3D>
      <c:depthPercent val="100"/>
      <c:rAngAx val="1"/>
    </c:view3D>
    <c:plotArea>
      <c:layout>
        <c:manualLayout>
          <c:layoutTarget val="inner"/>
          <c:xMode val="edge"/>
          <c:yMode val="edge"/>
          <c:x val="8.6501860878501327E-2"/>
          <c:y val="0.21264896071458811"/>
          <c:w val="0.90003159327306304"/>
          <c:h val="0.4838288989077990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авг.20</c:v>
                </c:pt>
              </c:strCache>
            </c:strRef>
          </c:tx>
          <c:spPr>
            <a:solidFill>
              <a:srgbClr val="00B050"/>
            </a:solidFill>
          </c:spPr>
          <c:dLbls>
            <c:dLbl>
              <c:idx val="0"/>
              <c:layout>
                <c:manualLayout>
                  <c:x val="-1.001250464039392E-2"/>
                  <c:y val="-7.1702226737787073E-5"/>
                </c:manualLayout>
              </c:layout>
              <c:tx>
                <c:rich>
                  <a:bodyPr/>
                  <a:lstStyle/>
                  <a:p>
                    <a:pPr>
                      <a:defRPr sz="601" b="1" i="0" u="none" strike="noStrike" baseline="0">
                        <a:solidFill>
                          <a:srgbClr val="000000"/>
                        </a:solidFill>
                        <a:latin typeface="Times New Roman"/>
                        <a:ea typeface="Times New Roman"/>
                        <a:cs typeface="Times New Roman"/>
                      </a:defRPr>
                    </a:pPr>
                    <a:r>
                      <a:rPr lang="ru-RU"/>
                      <a:t>1</a:t>
                    </a:r>
                  </a:p>
                </c:rich>
              </c:tx>
              <c:numFmt formatCode="\О\с\н\о\в\н\о\й" sourceLinked="0"/>
              <c:spPr>
                <a:noFill/>
                <a:ln w="19087">
                  <a:noFill/>
                </a:ln>
              </c:spPr>
            </c:dLbl>
            <c:dLbl>
              <c:idx val="1"/>
              <c:layout>
                <c:manualLayout>
                  <c:x val="1.5573315704352573E-3"/>
                  <c:y val="-2.3521424125162785E-2"/>
                </c:manualLayout>
              </c:layout>
              <c:tx>
                <c:rich>
                  <a:bodyPr/>
                  <a:lstStyle/>
                  <a:p>
                    <a:pPr>
                      <a:defRPr sz="601" b="1" i="0" u="none" strike="noStrike" baseline="0">
                        <a:solidFill>
                          <a:srgbClr val="000000"/>
                        </a:solidFill>
                        <a:latin typeface="Times New Roman"/>
                        <a:ea typeface="Times New Roman"/>
                        <a:cs typeface="Times New Roman"/>
                      </a:defRPr>
                    </a:pPr>
                    <a:r>
                      <a:rPr lang="ru-RU"/>
                      <a:t>0</a:t>
                    </a:r>
                  </a:p>
                </c:rich>
              </c:tx>
              <c:numFmt formatCode="\О\с\н\о\в\н\о\й" sourceLinked="0"/>
              <c:spPr>
                <a:noFill/>
                <a:ln w="19087">
                  <a:noFill/>
                </a:ln>
              </c:spPr>
            </c:dLbl>
            <c:dLbl>
              <c:idx val="2"/>
              <c:layout>
                <c:manualLayout>
                  <c:x val="6.6934404283801969E-3"/>
                  <c:y val="6.4530522870640543E-17"/>
                </c:manualLayout>
              </c:layout>
              <c:tx>
                <c:rich>
                  <a:bodyPr/>
                  <a:lstStyle/>
                  <a:p>
                    <a:pPr>
                      <a:defRPr sz="601" b="1" i="0" u="none" strike="noStrike" baseline="0">
                        <a:solidFill>
                          <a:srgbClr val="000000"/>
                        </a:solidFill>
                        <a:latin typeface="Times New Roman"/>
                        <a:ea typeface="Times New Roman"/>
                        <a:cs typeface="Times New Roman"/>
                      </a:defRPr>
                    </a:pPr>
                    <a:r>
                      <a:rPr lang="ru-RU"/>
                      <a:t>1</a:t>
                    </a:r>
                  </a:p>
                </c:rich>
              </c:tx>
              <c:numFmt formatCode="\О\с\н\о\в\н\о\й" sourceLinked="0"/>
              <c:spPr>
                <a:noFill/>
                <a:ln w="19087">
                  <a:noFill/>
                </a:ln>
              </c:spPr>
            </c:dLbl>
            <c:dLbl>
              <c:idx val="3"/>
              <c:layout>
                <c:manualLayout>
                  <c:x val="0"/>
                  <c:y val="0"/>
                </c:manualLayout>
              </c:layout>
              <c:tx>
                <c:rich>
                  <a:bodyPr/>
                  <a:lstStyle/>
                  <a:p>
                    <a:pPr>
                      <a:defRPr sz="601" b="1" i="0" u="none" strike="noStrike" baseline="0">
                        <a:solidFill>
                          <a:srgbClr val="000000"/>
                        </a:solidFill>
                        <a:latin typeface="Times New Roman"/>
                        <a:ea typeface="Times New Roman"/>
                        <a:cs typeface="Times New Roman"/>
                      </a:defRPr>
                    </a:pPr>
                    <a:r>
                      <a:rPr lang="ru-RU"/>
                      <a:t>0</a:t>
                    </a:r>
                  </a:p>
                </c:rich>
              </c:tx>
              <c:numFmt formatCode="\О\с\н\о\в\н\о\й" sourceLinked="0"/>
              <c:spPr>
                <a:noFill/>
                <a:ln w="19087">
                  <a:noFill/>
                </a:ln>
              </c:spPr>
            </c:dLbl>
            <c:dLbl>
              <c:idx val="4"/>
              <c:layout>
                <c:manualLayout>
                  <c:x val="1.9045153474922375E-3"/>
                  <c:y val="-3.5200237067140898E-3"/>
                </c:manualLayout>
              </c:layout>
              <c:tx>
                <c:rich>
                  <a:bodyPr/>
                  <a:lstStyle/>
                  <a:p>
                    <a:pPr>
                      <a:defRPr sz="601" b="1" i="0" u="none" strike="noStrike" baseline="0">
                        <a:solidFill>
                          <a:srgbClr val="000000"/>
                        </a:solidFill>
                        <a:latin typeface="Times New Roman"/>
                        <a:ea typeface="Times New Roman"/>
                        <a:cs typeface="Times New Roman"/>
                      </a:defRPr>
                    </a:pPr>
                    <a:r>
                      <a:t>24</a:t>
                    </a:r>
                  </a:p>
                </c:rich>
              </c:tx>
              <c:numFmt formatCode="\О\с\н\о\в\н\о\й" sourceLinked="0"/>
              <c:spPr>
                <a:noFill/>
                <a:ln w="19087">
                  <a:noFill/>
                </a:ln>
              </c:spPr>
            </c:dLbl>
            <c:numFmt formatCode="\О\с\н\о\в\н\о\й" sourceLinked="0"/>
            <c:spPr>
              <a:noFill/>
              <a:ln w="19087">
                <a:noFill/>
              </a:ln>
            </c:spPr>
            <c:txPr>
              <a:bodyPr/>
              <a:lstStyle/>
              <a:p>
                <a:pPr>
                  <a:defRPr sz="601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 </c:v>
                </c:pt>
                <c:pt idx="3">
                  <c:v>Обращения в справочную телефонную службу 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июл.20</c:v>
                </c:pt>
              </c:strCache>
            </c:strRef>
          </c:tx>
          <c:spPr>
            <a:solidFill>
              <a:schemeClr val="tx2">
                <a:lumMod val="75000"/>
              </a:schemeClr>
            </a:solidFill>
            <a:ln>
              <a:solidFill>
                <a:schemeClr val="tx2">
                  <a:lumMod val="75000"/>
                </a:schemeClr>
              </a:solidFill>
            </a:ln>
          </c:spPr>
          <c:dLbls>
            <c:dLbl>
              <c:idx val="0"/>
              <c:layout>
                <c:manualLayout>
                  <c:x val="-7.6118741981073866E-4"/>
                  <c:y val="-2.0209180001693396E-2"/>
                </c:manualLayout>
              </c:layout>
              <c:showVal val="1"/>
            </c:dLbl>
            <c:dLbl>
              <c:idx val="1"/>
              <c:layout>
                <c:manualLayout>
                  <c:x val="-7.6118741981069931E-4"/>
                  <c:y val="-6.1603231006549022E-17"/>
                </c:manualLayout>
              </c:layout>
              <c:showVal val="1"/>
            </c:dLbl>
            <c:dLbl>
              <c:idx val="2"/>
              <c:layout>
                <c:manualLayout>
                  <c:x val="8.924587237840299E-3"/>
                  <c:y val="-3.5198873636044341E-3"/>
                </c:manualLayout>
              </c:layout>
              <c:showVal val="1"/>
            </c:dLbl>
            <c:dLbl>
              <c:idx val="3"/>
              <c:layout>
                <c:manualLayout>
                  <c:x val="6.6097119373725935E-3"/>
                  <c:y val="0"/>
                </c:manualLayout>
              </c:layout>
              <c:showVal val="1"/>
            </c:dLbl>
            <c:dLbl>
              <c:idx val="4"/>
              <c:layout>
                <c:manualLayout>
                  <c:x val="7.1833297512749073E-3"/>
                  <c:y val="-6.1603231006549022E-17"/>
                </c:manualLayout>
              </c:layout>
              <c:showVal val="1"/>
            </c:dLbl>
            <c:spPr>
              <a:noFill/>
              <a:ln w="19087">
                <a:noFill/>
              </a:ln>
            </c:spPr>
            <c:txPr>
              <a:bodyPr/>
              <a:lstStyle/>
              <a:p>
                <a:pPr>
                  <a:defRPr sz="601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 </c:v>
                </c:pt>
                <c:pt idx="3">
                  <c:v>Обращения в справочную телефонную службу 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авг.19</c:v>
                </c:pt>
              </c:strCache>
            </c:strRef>
          </c:tx>
          <c:spPr>
            <a:solidFill>
              <a:srgbClr val="FF0000"/>
            </a:solidFill>
          </c:spPr>
          <c:dLbls>
            <c:dLbl>
              <c:idx val="0"/>
              <c:layout>
                <c:manualLayout>
                  <c:x val="8.2712985938792546E-3"/>
                  <c:y val="-6.7204301075268827E-3"/>
                </c:manualLayout>
              </c:layout>
              <c:showVal val="1"/>
            </c:dLbl>
            <c:dLbl>
              <c:idx val="1"/>
              <c:layout>
                <c:manualLayout>
                  <c:x val="1.0339123242349061E-2"/>
                  <c:y val="-6.7204301075269425E-3"/>
                </c:manualLayout>
              </c:layout>
              <c:showVal val="1"/>
            </c:dLbl>
            <c:dLbl>
              <c:idx val="2"/>
              <c:layout>
                <c:manualLayout>
                  <c:x val="6.2034739454093725E-3"/>
                  <c:y val="0"/>
                </c:manualLayout>
              </c:layout>
              <c:showVal val="1"/>
            </c:dLbl>
            <c:dLbl>
              <c:idx val="3"/>
              <c:layout>
                <c:manualLayout>
                  <c:x val="8.2712985938790898E-3"/>
                  <c:y val="-6.7204301075268827E-3"/>
                </c:manualLayout>
              </c:layout>
              <c:showVal val="1"/>
            </c:dLbl>
            <c:dLbl>
              <c:idx val="4"/>
              <c:layout>
                <c:manualLayout>
                  <c:x val="8.2712985938792546E-3"/>
                  <c:y val="-6.7204301075269425E-3"/>
                </c:manualLayout>
              </c:layout>
              <c:showVal val="1"/>
            </c:dLbl>
            <c:spPr>
              <a:noFill/>
              <a:ln w="19087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1"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 </c:v>
                </c:pt>
                <c:pt idx="3">
                  <c:v>Обращения в справочную телефонную службу 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3</c:v>
                </c:pt>
                <c:pt idx="1">
                  <c:v>0</c:v>
                </c:pt>
                <c:pt idx="2">
                  <c:v>3</c:v>
                </c:pt>
                <c:pt idx="3">
                  <c:v>0</c:v>
                </c:pt>
              </c:numCache>
            </c:numRef>
          </c:val>
        </c:ser>
        <c:shape val="cylinder"/>
        <c:axId val="35706752"/>
        <c:axId val="35708288"/>
        <c:axId val="0"/>
      </c:bar3DChart>
      <c:catAx>
        <c:axId val="35706752"/>
        <c:scaling>
          <c:orientation val="minMax"/>
        </c:scaling>
        <c:axPos val="b"/>
        <c:numFmt formatCode="\О\с\н\о\в\н\о\й" sourceLinked="0"/>
        <c:tickLblPos val="nextTo"/>
        <c:txPr>
          <a:bodyPr/>
          <a:lstStyle/>
          <a:p>
            <a:pPr>
              <a:defRPr sz="526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5708288"/>
        <c:crosses val="autoZero"/>
        <c:auto val="1"/>
        <c:lblAlgn val="ctr"/>
        <c:lblOffset val="100"/>
      </c:catAx>
      <c:valAx>
        <c:axId val="35708288"/>
        <c:scaling>
          <c:orientation val="minMax"/>
        </c:scaling>
        <c:axPos val="l"/>
        <c:majorGridlines/>
        <c:title>
          <c:tx>
            <c:rich>
              <a:bodyPr/>
              <a:lstStyle/>
              <a:p>
                <a:pPr>
                  <a:defRPr sz="751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1.0837888142542901E-2"/>
              <c:y val="0.28721346357317806"/>
            </c:manualLayout>
          </c:layout>
        </c:title>
        <c:numFmt formatCode="General" sourceLinked="1"/>
        <c:tickLblPos val="nextTo"/>
        <c:crossAx val="35706752"/>
        <c:crosses val="autoZero"/>
        <c:crossBetween val="between"/>
      </c:valAx>
      <c:spPr>
        <a:noFill/>
        <a:ln w="19087">
          <a:noFill/>
        </a:ln>
      </c:spPr>
    </c:plotArea>
    <c:legend>
      <c:legendPos val="r"/>
      <c:layout>
        <c:manualLayout>
          <c:xMode val="edge"/>
          <c:yMode val="edge"/>
          <c:x val="0.13700787401574802"/>
          <c:y val="0.93798432211563754"/>
          <c:w val="0.81102362204724432"/>
          <c:h val="5.6847237079774793E-2"/>
        </c:manualLayout>
      </c:layout>
      <c:txPr>
        <a:bodyPr/>
        <a:lstStyle/>
        <a:p>
          <a:pPr>
            <a:defRPr sz="789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826</Words>
  <Characters>4712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Сельсовет</dc:creator>
  <cp:keywords/>
  <dc:description/>
  <cp:lastModifiedBy>Сельсовет</cp:lastModifiedBy>
  <cp:revision>6</cp:revision>
  <dcterms:created xsi:type="dcterms:W3CDTF">2020-09-02T02:53:00Z</dcterms:created>
  <dcterms:modified xsi:type="dcterms:W3CDTF">2020-12-03T03:42:00Z</dcterms:modified>
</cp:coreProperties>
</file>