
<file path=[Content_Types].xml><?xml version="1.0" encoding="utf-8"?>
<Types xmlns="http://schemas.openxmlformats.org/package/2006/content-types">
  <Override PartName="/word/theme/themeOverride2.xml" ContentType="application/vnd.openxmlformats-officedocument.themeOverride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908" w:rsidRDefault="005A2908" w:rsidP="005A290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обращений граждан, поступивших в администрацию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 Новосибирской области за  </w:t>
      </w:r>
      <w:r>
        <w:rPr>
          <w:rFonts w:ascii="Times New Roman" w:hAnsi="Times New Roman"/>
          <w:b/>
          <w:sz w:val="28"/>
          <w:szCs w:val="28"/>
          <w:lang w:val="en-US"/>
        </w:rPr>
        <w:t>II</w:t>
      </w:r>
      <w:r w:rsidRPr="005A2908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>квартал      2020 года, и результаты их рассмотрения</w:t>
      </w:r>
    </w:p>
    <w:p w:rsidR="005A2908" w:rsidRDefault="005A2908" w:rsidP="005A290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A2908" w:rsidRDefault="005A2908" w:rsidP="005A290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 xml:space="preserve">Рассмотрение обращений граждан, организаций и общественных объединений (далее – граждан), адресованных Главе администрации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района. Организацию работы по объективному, всестороннему и своевременному рассмотрению обращений осуществляет специалист  администрации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 Новосибирской области.</w:t>
      </w:r>
    </w:p>
    <w:p w:rsidR="005A2908" w:rsidRDefault="005A2908" w:rsidP="005A29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   2 квартале      2020 года Главе администрации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поступило       обращений- 4     (за 1 квартал 2020 года-  3 ; за   2  квартал     2019– 10  обращений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в том числе):</w:t>
      </w:r>
    </w:p>
    <w:p w:rsidR="005A2908" w:rsidRDefault="005A2908" w:rsidP="005A2908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письменных обращений – 2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2020- 3; в  2 квартале   2019 – 0 );</w:t>
      </w:r>
    </w:p>
    <w:p w:rsidR="005A2908" w:rsidRDefault="005A2908" w:rsidP="005A2908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устных обращений по справочному телефону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2020г-0, в   2 квартале    2019 – 1  обращений);</w:t>
      </w:r>
    </w:p>
    <w:p w:rsidR="005A2908" w:rsidRDefault="005A2908" w:rsidP="005A2908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обращений на личном приеме граждан Главой  сельсовета , - 2  (за 1 квартал 2020 - 3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>в   2 квартале   -    2019 –  2).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tabs>
          <w:tab w:val="left" w:pos="2694"/>
        </w:tabs>
        <w:ind w:left="284"/>
        <w:rPr>
          <w:rFonts w:ascii="Calibri" w:hAnsi="Calibri"/>
          <w:lang w:val="en-US" w:eastAsia="en-US"/>
        </w:rPr>
      </w:pPr>
      <w:bookmarkStart w:id="0" w:name="_MON_1530446015"/>
      <w:bookmarkEnd w:id="0"/>
      <w:r>
        <w:rPr>
          <w:rFonts w:ascii="Calibri" w:eastAsia="Calibri" w:hAnsi="Calibri" w:cs="Times New Roman"/>
          <w:noProof/>
        </w:rPr>
        <w:drawing>
          <wp:inline distT="0" distB="0" distL="0" distR="0">
            <wp:extent cx="6029325" cy="2876550"/>
            <wp:effectExtent l="0" t="0" r="0" b="0"/>
            <wp:docPr id="1" name="Объект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</w:p>
    <w:p w:rsidR="005A2908" w:rsidRDefault="005A2908" w:rsidP="005A2908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–2 (за 1 квартал 2020 - 3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>в  2  квартале    2019 –0 );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жалобы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  -0 ;в  2  квартале    2019 – 0);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за 1 квартал 2020 -0 ;в  2 квартале     2019 – 0);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предложения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2020-0 ;в  2 квартале      2019 – 0);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 (за 1 квартал 2020 -0; в   2 квартале     2019– 0).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rPr>
          <w:rFonts w:ascii="Calibri" w:hAnsi="Calibri"/>
          <w:lang w:eastAsia="en-US"/>
        </w:rPr>
      </w:pPr>
      <w:bookmarkStart w:id="1" w:name="_MON_1530446487"/>
      <w:bookmarkEnd w:id="1"/>
      <w:r>
        <w:rPr>
          <w:rFonts w:ascii="Calibri" w:eastAsia="Calibri" w:hAnsi="Calibri" w:cs="Times New Roman"/>
          <w:noProof/>
        </w:rPr>
        <w:drawing>
          <wp:inline distT="0" distB="0" distL="0" distR="0">
            <wp:extent cx="6467475" cy="3810000"/>
            <wp:effectExtent l="0" t="0" r="0" b="0"/>
            <wp:docPr id="2" name="Объект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2" w:name="_MON_1530447370"/>
      <w:bookmarkEnd w:id="2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2020г-0;  в 2квартале    2019 – 0 обращений)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 квартал 2020г -0 ;в  2 квартале        2019– 0 обращений) (семья, труд и занятость населения, социальное обеспечение, образование);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0 обращений 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2020- 0 ;в 2  квартале      2019 – 0 обращений)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(за 1 квартал 2020г -0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в   2 квартале    2019 – 0 обращений) (оборона; безопасность и охрана правопорядка; правосудие);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«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2 обращения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 xml:space="preserve">за 1 квартал 2020 – 0 обращений ; в  2 квартале      2019 – 0 обращений) (ненадлежащее содержание общего имущества в многоквартирном доме, оплата и предоставление </w:t>
      </w:r>
      <w:proofErr w:type="spellStart"/>
      <w:r>
        <w:rPr>
          <w:rFonts w:ascii="Times New Roman" w:hAnsi="Times New Roman"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sz w:val="28"/>
          <w:szCs w:val="28"/>
        </w:rPr>
        <w:t>–коммунальных услуг, улучшение жилищных условий).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Исполнение </w:t>
      </w:r>
      <w:proofErr w:type="gramStart"/>
      <w:r>
        <w:rPr>
          <w:rFonts w:ascii="Times New Roman" w:hAnsi="Times New Roman"/>
          <w:sz w:val="28"/>
          <w:szCs w:val="28"/>
        </w:rPr>
        <w:t xml:space="preserve">письменных обращений граждан, поступивших в администрацию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 было</w:t>
      </w:r>
      <w:proofErr w:type="gramEnd"/>
      <w:r>
        <w:rPr>
          <w:rFonts w:ascii="Times New Roman" w:hAnsi="Times New Roman"/>
          <w:sz w:val="28"/>
          <w:szCs w:val="28"/>
        </w:rPr>
        <w:t xml:space="preserve"> поставлено на контроль.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2 квартале    2020 года:   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2 обращений (за 1 квартал 2020 г – 0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в  2 квартале     2019 – 0) 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(за 1 квартал 2020- 0 обращений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в   2 квартале    2019 – 0 обращений).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A2908" w:rsidRDefault="005A2908" w:rsidP="005A2908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В 2 квартале     2020 года по справочному телефону 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поступило 0 обращений ( за 1 квартал 2020г – 0 обращений </w:t>
      </w:r>
      <w:proofErr w:type="gramStart"/>
      <w:r>
        <w:rPr>
          <w:rFonts w:ascii="Times New Roman" w:hAnsi="Times New Roman"/>
          <w:sz w:val="28"/>
          <w:szCs w:val="28"/>
        </w:rPr>
        <w:t>;в</w:t>
      </w:r>
      <w:proofErr w:type="gramEnd"/>
      <w:r>
        <w:rPr>
          <w:rFonts w:ascii="Times New Roman" w:hAnsi="Times New Roman"/>
          <w:sz w:val="28"/>
          <w:szCs w:val="28"/>
        </w:rPr>
        <w:t xml:space="preserve">  2 квартале       2019 – 10  обращений) от жителей   села Довольное   по вопросам: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–к</w:t>
      </w:r>
      <w:proofErr w:type="gramEnd"/>
      <w:r>
        <w:rPr>
          <w:rFonts w:ascii="Times New Roman" w:hAnsi="Times New Roman"/>
          <w:sz w:val="28"/>
          <w:szCs w:val="28"/>
        </w:rPr>
        <w:t>оммунальной  и социальной сферы 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A2908" w:rsidRDefault="005A2908" w:rsidP="005A2908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 Новосибирской области 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 2 квартале       2020 года Главой  администрации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принято 2  человека  ( за 1 квартал 2020г 3 обращения </w:t>
      </w:r>
      <w:proofErr w:type="gramStart"/>
      <w:r>
        <w:rPr>
          <w:rFonts w:ascii="Times New Roman" w:hAnsi="Times New Roman"/>
          <w:sz w:val="28"/>
          <w:szCs w:val="28"/>
        </w:rPr>
        <w:t>;в</w:t>
      </w:r>
      <w:proofErr w:type="gramEnd"/>
      <w:r>
        <w:rPr>
          <w:rFonts w:ascii="Times New Roman" w:hAnsi="Times New Roman"/>
          <w:sz w:val="28"/>
          <w:szCs w:val="28"/>
        </w:rPr>
        <w:t xml:space="preserve">  2 квартале    2019 – 2 обращения).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2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2020-3 ;в   2 квартале     2019 – 2);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(за 1 квартал 2020 -0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в   2 квартале    2019 – 0);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(за 1 квартал 2020 -0;в  2 квартале     2019 – 0);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запросы – 0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2020 -0 ;в  2  квартале     2019 – 0).</w:t>
      </w:r>
      <w:bookmarkStart w:id="3" w:name="_MON_1530447940"/>
      <w:bookmarkEnd w:id="3"/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общественные организации - 0 обращений  (за 1 квартал 2020г -0 обращение; в  2 квартале    2019 – 0 обращений</w:t>
      </w:r>
      <w:proofErr w:type="gramStart"/>
      <w:r>
        <w:rPr>
          <w:rFonts w:ascii="Times New Roman" w:hAnsi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«Социальная сфера»: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социальное обеспечение – 0 обращений 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 xml:space="preserve">за 1 квартал 2020 – 0 обращения; </w:t>
      </w:r>
      <w:r>
        <w:rPr>
          <w:rFonts w:ascii="Times New Roman" w:hAnsi="Times New Roman"/>
          <w:sz w:val="28"/>
          <w:szCs w:val="28"/>
        </w:rPr>
        <w:lastRenderedPageBreak/>
        <w:t>в  2 квартале     2020 – 0 обращения);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за 1 квартал 2020 -0 обращений; в  2 квартале    2019– 0 обращений);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безопасность и охрана правопорядка - 0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2020 -0 ; в  2 квартале     2019 – 0 обращений).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жильем - 2 обращения (за 1 квартал 2020 -3</w:t>
      </w:r>
      <w:proofErr w:type="gramStart"/>
      <w:r>
        <w:rPr>
          <w:rFonts w:ascii="Times New Roman" w:hAnsi="Times New Roman"/>
          <w:sz w:val="28"/>
          <w:szCs w:val="28"/>
        </w:rPr>
        <w:t xml:space="preserve">  ;</w:t>
      </w:r>
      <w:proofErr w:type="gramEnd"/>
      <w:r>
        <w:rPr>
          <w:rFonts w:ascii="Times New Roman" w:hAnsi="Times New Roman"/>
          <w:sz w:val="28"/>
          <w:szCs w:val="28"/>
        </w:rPr>
        <w:t xml:space="preserve"> в  2 квартале 2019 –2 обращения);</w:t>
      </w:r>
    </w:p>
    <w:p w:rsidR="005A2908" w:rsidRDefault="005A2908" w:rsidP="005A2908">
      <w:pPr>
        <w:rPr>
          <w:rFonts w:ascii="Calibri" w:hAnsi="Calibri"/>
          <w:b/>
          <w:lang w:eastAsia="en-US"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– обоснованными и подлежащими удовлетворению) – 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2020г -0 ; в 2 квартале     2019 – 0 обращений);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даны разъяснения – </w:t>
      </w:r>
      <w:r>
        <w:rPr>
          <w:rFonts w:ascii="Times New Roman" w:hAnsi="Times New Roman"/>
          <w:sz w:val="28"/>
          <w:szCs w:val="28"/>
        </w:rPr>
        <w:t xml:space="preserve">2 обращения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квартал 2020 -3;  в  2 квартале 2019  – 2 обращения);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 xml:space="preserve">0 обращений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за 1  квартал 2020 -0 обращений; в   2 квартале  2019 – 0 обращений).</w:t>
      </w: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2908" w:rsidRDefault="005A2908" w:rsidP="005A2908">
      <w:pPr>
        <w:rPr>
          <w:rFonts w:ascii="Calibri" w:hAnsi="Calibri"/>
          <w:lang w:eastAsia="en-US"/>
        </w:rPr>
      </w:pPr>
    </w:p>
    <w:p w:rsidR="005A2908" w:rsidRDefault="005A2908" w:rsidP="005A2908"/>
    <w:p w:rsidR="006C4954" w:rsidRDefault="006C4954"/>
    <w:sectPr w:rsidR="006C4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2908"/>
    <w:rsid w:val="005A2908"/>
    <w:rsid w:val="006C49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2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29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857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052">
                <a:latin typeface="Times New Roman" pitchFamily="18" charset="0"/>
                <a:cs typeface="Times New Roman" pitchFamily="18" charset="0"/>
              </a:defRPr>
            </a:pPr>
            <a:r>
              <a:rPr lang="ru-RU" sz="752" baseline="0">
                <a:latin typeface="Times New Roman" pitchFamily="18" charset="0"/>
                <a:cs typeface="Times New Roman" pitchFamily="18" charset="0"/>
              </a:rPr>
              <a:t>Количество обращений, поступивших в адрес Главы Доволенского сельсовета  Доволенского района Новосибирской области 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4157590204606071"/>
          <c:y val="1.269944349739788E-4"/>
        </c:manualLayout>
      </c:layout>
    </c:title>
    <c:view3D>
      <c:depthPercent val="100"/>
      <c:rAngAx val="1"/>
    </c:view3D>
    <c:plotArea>
      <c:layout>
        <c:manualLayout>
          <c:layoutTarget val="inner"/>
          <c:xMode val="edge"/>
          <c:yMode val="edge"/>
          <c:x val="6.7651492065364499E-2"/>
          <c:y val="0.15552530480060967"/>
          <c:w val="0.91003257083501243"/>
          <c:h val="0.7165237913809158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2квартал 2019</c:v>
                </c:pt>
              </c:strCache>
            </c:strRef>
          </c:tx>
          <c:spPr>
            <a:solidFill>
              <a:srgbClr val="00B050"/>
            </a:solidFill>
          </c:spPr>
          <c:dLbls>
            <c:dLbl>
              <c:idx val="0"/>
              <c:layout>
                <c:manualLayout>
                  <c:x val="3.0080509599221452E-4"/>
                  <c:y val="-1.0152204919794456E-2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10</a:t>
                    </a:r>
                  </a:p>
                </c:rich>
              </c:tx>
              <c:numFmt formatCode="\О\с\н\о\в\н\о\й" sourceLinked="0"/>
              <c:spPr>
                <a:noFill/>
                <a:ln w="19092">
                  <a:noFill/>
                </a:ln>
              </c:spPr>
            </c:dLbl>
            <c:dLbl>
              <c:idx val="1"/>
              <c:layout>
                <c:manualLayout>
                  <c:x val="-5.6405870614487782E-3"/>
                  <c:y val="0"/>
                </c:manualLayout>
              </c:layout>
              <c:showVal val="1"/>
            </c:dLbl>
            <c:dLbl>
              <c:idx val="2"/>
              <c:layout>
                <c:manualLayout>
                  <c:x val="-1.6295247738227481E-3"/>
                  <c:y val="-9.925558312655092E-3"/>
                </c:manualLayout>
              </c:layout>
              <c:showVal val="1"/>
            </c:dLbl>
            <c:dLbl>
              <c:idx val="3"/>
              <c:layout>
                <c:manualLayout>
                  <c:x val="-4.16162867282047E-3"/>
                  <c:y val="6.6170388751033912E-3"/>
                </c:manualLayout>
              </c:layout>
              <c:showVal val="1"/>
            </c:dLbl>
            <c:dLbl>
              <c:idx val="4"/>
              <c:layout>
                <c:manualLayout>
                  <c:x val="-8.4733322192403933E-3"/>
                  <c:y val="-6.8285757084335305E-3"/>
                </c:manualLayout>
              </c:layout>
              <c:showVal val="1"/>
            </c:dLbl>
            <c:dLbl>
              <c:idx val="5"/>
              <c:layout>
                <c:manualLayout>
                  <c:x val="-6.2421972534332099E-3"/>
                  <c:y val="-6.6170388751033912E-3"/>
                </c:manualLayout>
              </c:layout>
              <c:showVal val="1"/>
            </c:dLbl>
            <c:numFmt formatCode="\О\с\н\о\в\н\о\й" sourceLinked="0"/>
            <c:spPr>
              <a:noFill/>
              <a:ln w="19092">
                <a:noFill/>
              </a:ln>
            </c:spPr>
            <c:txPr>
              <a:bodyPr/>
              <a:lstStyle/>
              <a:p>
                <a:pPr>
                  <a:defRPr sz="601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 2020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</c:spPr>
          <c:dLbls>
            <c:dLbl>
              <c:idx val="0"/>
              <c:layout>
                <c:manualLayout>
                  <c:x val="6.3308331776879964E-3"/>
                  <c:y val="6.4140989820440919E-3"/>
                </c:manualLayout>
              </c:layout>
              <c:tx>
                <c:rich>
                  <a:bodyPr/>
                  <a:lstStyle/>
                  <a:p>
                    <a:r>
                      <a:rPr lang="ru-RU" i="0"/>
                      <a:t>3</a:t>
                    </a:r>
                    <a:endParaRPr lang="en-US" i="0"/>
                  </a:p>
                </c:rich>
              </c:tx>
            </c:dLbl>
            <c:dLbl>
              <c:idx val="1"/>
              <c:layout>
                <c:manualLayout>
                  <c:x val="4.4978226036352193E-3"/>
                  <c:y val="-1.9851116625310184E-2"/>
                </c:manualLayout>
              </c:layout>
              <c:showVal val="1"/>
            </c:dLbl>
            <c:dLbl>
              <c:idx val="2"/>
              <c:layout>
                <c:manualLayout>
                  <c:x val="8.92453986322864E-3"/>
                  <c:y val="-1.0136834632643624E-2"/>
                </c:manualLayout>
              </c:layout>
              <c:showVal val="1"/>
            </c:dLbl>
            <c:dLbl>
              <c:idx val="3"/>
              <c:layout>
                <c:manualLayout>
                  <c:x val="6.6226272277762274E-3"/>
                  <c:y val="-3.3085194375516969E-3"/>
                </c:manualLayout>
              </c:layout>
              <c:showVal val="1"/>
            </c:dLbl>
            <c:dLbl>
              <c:idx val="4"/>
              <c:layout>
                <c:manualLayout>
                  <c:x val="7.1446125414098517E-3"/>
                  <c:y val="-1.985111662531024E-2"/>
                </c:manualLayout>
              </c:layout>
              <c:showVal val="1"/>
            </c:dLbl>
            <c:dLbl>
              <c:idx val="5"/>
              <c:layout>
                <c:manualLayout>
                  <c:x val="1.0403662089055198E-2"/>
                  <c:y val="-6.6170388751034502E-3"/>
                </c:manualLayout>
              </c:layout>
              <c:showVal val="1"/>
            </c:dLbl>
            <c:spPr>
              <a:noFill/>
              <a:ln w="19092">
                <a:noFill/>
              </a:ln>
            </c:spPr>
            <c:txPr>
              <a:bodyPr/>
              <a:lstStyle/>
              <a:p>
                <a:pPr>
                  <a:defRPr sz="601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2020 </c:v>
                </c:pt>
              </c:strCache>
            </c:strRef>
          </c:tx>
          <c:spPr>
            <a:solidFill>
              <a:srgbClr val="FF0000"/>
            </a:solidFill>
          </c:spPr>
          <c:dLbls>
            <c:dLbl>
              <c:idx val="0"/>
              <c:layout>
                <c:manualLayout>
                  <c:x val="2.2888056595921774E-2"/>
                  <c:y val="-9.925558312655092E-3"/>
                </c:manualLayout>
              </c:layout>
              <c:showVal val="1"/>
            </c:dLbl>
            <c:dLbl>
              <c:idx val="1"/>
              <c:layout>
                <c:manualLayout>
                  <c:x val="1.6645859342488495E-2"/>
                  <c:y val="-6.6170388751033912E-3"/>
                </c:manualLayout>
              </c:layout>
              <c:showVal val="1"/>
            </c:dLbl>
            <c:dLbl>
              <c:idx val="2"/>
              <c:layout>
                <c:manualLayout>
                  <c:x val="1.8726591760299557E-2"/>
                  <c:y val="9.925558312655092E-3"/>
                </c:manualLayout>
              </c:layout>
              <c:showVal val="1"/>
            </c:dLbl>
            <c:dLbl>
              <c:idx val="3"/>
              <c:layout>
                <c:manualLayout>
                  <c:x val="1.8726591760299557E-2"/>
                  <c:y val="3.3085194375516358E-3"/>
                </c:manualLayout>
              </c:layout>
              <c:showVal val="1"/>
            </c:dLbl>
            <c:dLbl>
              <c:idx val="4"/>
              <c:layout>
                <c:manualLayout>
                  <c:x val="1.6645859342488571E-2"/>
                  <c:y val="9.925558312655092E-3"/>
                </c:manualLayout>
              </c:layout>
              <c:showVal val="1"/>
            </c:dLbl>
            <c:dLbl>
              <c:idx val="5"/>
              <c:layout>
                <c:manualLayout>
                  <c:x val="1.872659176029948E-2"/>
                  <c:y val="3.3085194375516969E-3"/>
                </c:manualLayout>
              </c:layout>
              <c:showVal val="1"/>
            </c:dLbl>
            <c:spPr>
              <a:noFill/>
              <a:ln w="19092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1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</c:numCache>
            </c:numRef>
          </c:val>
        </c:ser>
        <c:shape val="cylinder"/>
        <c:axId val="105680256"/>
        <c:axId val="105702528"/>
        <c:axId val="0"/>
      </c:bar3DChart>
      <c:catAx>
        <c:axId val="105680256"/>
        <c:scaling>
          <c:orientation val="minMax"/>
        </c:scaling>
        <c:axPos val="b"/>
        <c:numFmt formatCode="\О\с\н\о\в\н\о\й" sourceLinked="0"/>
        <c:tickLblPos val="nextTo"/>
        <c:txPr>
          <a:bodyPr/>
          <a:lstStyle/>
          <a:p>
            <a:pPr>
              <a:defRPr sz="601" b="1" i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05702528"/>
        <c:crosses val="autoZero"/>
        <c:auto val="1"/>
        <c:lblAlgn val="ctr"/>
        <c:lblOffset val="100"/>
      </c:catAx>
      <c:valAx>
        <c:axId val="105702528"/>
        <c:scaling>
          <c:orientation val="minMax"/>
        </c:scaling>
        <c:axPos val="l"/>
        <c:majorGridlines>
          <c:spPr>
            <a:ln>
              <a:solidFill>
                <a:schemeClr val="bg1">
                  <a:lumMod val="50000"/>
                </a:schemeClr>
              </a:solidFill>
            </a:ln>
          </c:spPr>
        </c:majorGridlines>
        <c:numFmt formatCode="General" sourceLinked="1"/>
        <c:tickLblPos val="nextTo"/>
        <c:crossAx val="105680256"/>
        <c:crosses val="autoZero"/>
        <c:crossBetween val="between"/>
      </c:valAx>
      <c:spPr>
        <a:noFill/>
        <a:ln w="19092">
          <a:noFill/>
        </a:ln>
      </c:spPr>
    </c:plotArea>
    <c:legend>
      <c:legendPos val="r"/>
      <c:layout>
        <c:manualLayout>
          <c:xMode val="edge"/>
          <c:yMode val="edge"/>
          <c:x val="8.5578505585352613E-2"/>
          <c:y val="0.9338420326325193"/>
          <c:w val="0.86687782384689815"/>
          <c:h val="5.0890494358307968E-2"/>
        </c:manualLayout>
      </c:layout>
      <c:txPr>
        <a:bodyPr/>
        <a:lstStyle/>
        <a:p>
          <a:pPr>
            <a:defRPr sz="676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827">
                <a:latin typeface="Times New Roman" pitchFamily="18" charset="0"/>
                <a:cs typeface="Times New Roman" pitchFamily="18" charset="0"/>
              </a:defRPr>
            </a:pPr>
            <a:r>
              <a:rPr lang="ru-RU" sz="827" b="1" i="0" baseline="0">
                <a:effectLst/>
              </a:rPr>
              <a:t>Структура и количество обращений, поступивших в администрацию Доволенского сельсовета Доволенского района Новосибирской области </a:t>
            </a:r>
            <a:endParaRPr lang="ru-RU" sz="11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4798097014484884"/>
          <c:y val="3.3838700753665448E-3"/>
        </c:manualLayout>
      </c:layout>
    </c:title>
    <c:view3D>
      <c:depthPercent val="100"/>
      <c:rAngAx val="1"/>
    </c:view3D>
    <c:plotArea>
      <c:layout>
        <c:manualLayout>
          <c:layoutTarget val="inner"/>
          <c:xMode val="edge"/>
          <c:yMode val="edge"/>
          <c:x val="8.6501860878501327E-2"/>
          <c:y val="0.21264896071458811"/>
          <c:w val="0.90003159327306304"/>
          <c:h val="0.4838288989077980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2квартал 2019 </c:v>
                </c:pt>
              </c:strCache>
            </c:strRef>
          </c:tx>
          <c:spPr>
            <a:solidFill>
              <a:srgbClr val="00B050"/>
            </a:solidFill>
          </c:spPr>
          <c:dLbls>
            <c:dLbl>
              <c:idx val="0"/>
              <c:layout>
                <c:manualLayout>
                  <c:x val="-1.0012504640393919E-2"/>
                  <c:y val="-7.170222673778687E-5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10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1"/>
              <c:layout>
                <c:manualLayout>
                  <c:x val="-4.4396358023484914E-3"/>
                  <c:y val="-2.3521505376344148E-2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0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2"/>
              <c:layout>
                <c:manualLayout>
                  <c:x val="6.69344042838019E-3"/>
                  <c:y val="6.4530522870640013E-17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2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3"/>
              <c:layout>
                <c:manualLayout>
                  <c:x val="0"/>
                  <c:y val="0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10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dLbl>
              <c:idx val="4"/>
              <c:layout>
                <c:manualLayout>
                  <c:x val="1.9045153474922343E-3"/>
                  <c:y val="-3.5200237067140819E-3"/>
                </c:manualLayout>
              </c:layout>
              <c:tx>
                <c:rich>
                  <a:bodyPr/>
                  <a:lstStyle/>
                  <a:p>
                    <a:pPr>
                      <a:defRPr sz="601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t>24</a:t>
                    </a:r>
                  </a:p>
                </c:rich>
              </c:tx>
              <c:numFmt formatCode="\О\с\н\о\в\н\о\й" sourceLinked="0"/>
              <c:spPr>
                <a:noFill/>
                <a:ln w="19087">
                  <a:noFill/>
                </a:ln>
              </c:spPr>
            </c:dLbl>
            <c:numFmt formatCode="\О\с\н\о\в\н\о\й" sourceLinked="0"/>
            <c:spPr>
              <a:noFill/>
              <a:ln w="19087">
                <a:noFill/>
              </a:ln>
            </c:spPr>
            <c:txPr>
              <a:bodyPr/>
              <a:lstStyle/>
              <a:p>
                <a:pPr>
                  <a:defRPr sz="601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прием Главы района </c:v>
                </c:pt>
                <c:pt idx="3">
                  <c:v>Обращения в справочную телефонную службу 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</c:v>
                </c:pt>
                <c:pt idx="1">
                  <c:v>0</c:v>
                </c:pt>
                <c:pt idx="2">
                  <c:v>2</c:v>
                </c:pt>
                <c:pt idx="3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квартал2020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  <a:ln>
              <a:solidFill>
                <a:schemeClr val="tx2">
                  <a:lumMod val="75000"/>
                </a:schemeClr>
              </a:solidFill>
            </a:ln>
          </c:spPr>
          <c:dLbls>
            <c:dLbl>
              <c:idx val="0"/>
              <c:layout>
                <c:manualLayout>
                  <c:x val="-7.6118741981073747E-4"/>
                  <c:y val="-2.0209180001693354E-2"/>
                </c:manualLayout>
              </c:layout>
              <c:showVal val="1"/>
            </c:dLbl>
            <c:dLbl>
              <c:idx val="1"/>
              <c:layout>
                <c:manualLayout>
                  <c:x val="-7.6118741981069931E-4"/>
                  <c:y val="-6.1603231006548492E-17"/>
                </c:manualLayout>
              </c:layout>
              <c:showVal val="1"/>
            </c:dLbl>
            <c:dLbl>
              <c:idx val="2"/>
              <c:layout>
                <c:manualLayout>
                  <c:x val="8.9245872378402591E-3"/>
                  <c:y val="-3.5198873636044302E-3"/>
                </c:manualLayout>
              </c:layout>
              <c:showVal val="1"/>
            </c:dLbl>
            <c:dLbl>
              <c:idx val="3"/>
              <c:layout>
                <c:manualLayout>
                  <c:x val="6.6097119373725935E-3"/>
                  <c:y val="0"/>
                </c:manualLayout>
              </c:layout>
              <c:showVal val="1"/>
            </c:dLbl>
            <c:dLbl>
              <c:idx val="4"/>
              <c:layout>
                <c:manualLayout>
                  <c:x val="7.1833297512748917E-3"/>
                  <c:y val="-6.1603231006548492E-17"/>
                </c:manualLayout>
              </c:layout>
              <c:showVal val="1"/>
            </c:dLbl>
            <c:spPr>
              <a:noFill/>
              <a:ln w="19087">
                <a:noFill/>
              </a:ln>
            </c:spPr>
            <c:txPr>
              <a:bodyPr/>
              <a:lstStyle/>
              <a:p>
                <a:pPr>
                  <a:defRPr sz="601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прием Главы района </c:v>
                </c:pt>
                <c:pt idx="3">
                  <c:v>Обращения в справочную телефонную службу 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квартал 2020 </c:v>
                </c:pt>
              </c:strCache>
            </c:strRef>
          </c:tx>
          <c:spPr>
            <a:solidFill>
              <a:srgbClr val="FF0000"/>
            </a:solidFill>
          </c:spPr>
          <c:dLbls>
            <c:dLbl>
              <c:idx val="0"/>
              <c:layout>
                <c:manualLayout>
                  <c:x val="8.2712985938792425E-3"/>
                  <c:y val="-6.7204301075268827E-3"/>
                </c:manualLayout>
              </c:layout>
              <c:showVal val="1"/>
            </c:dLbl>
            <c:dLbl>
              <c:idx val="1"/>
              <c:layout>
                <c:manualLayout>
                  <c:x val="1.0339123242349053E-2"/>
                  <c:y val="-6.7204301075269425E-3"/>
                </c:manualLayout>
              </c:layout>
              <c:showVal val="1"/>
            </c:dLbl>
            <c:dLbl>
              <c:idx val="2"/>
              <c:layout>
                <c:manualLayout>
                  <c:x val="6.2034739454093569E-3"/>
                  <c:y val="0"/>
                </c:manualLayout>
              </c:layout>
              <c:showVal val="1"/>
            </c:dLbl>
            <c:dLbl>
              <c:idx val="3"/>
              <c:layout>
                <c:manualLayout>
                  <c:x val="8.2712985938790898E-3"/>
                  <c:y val="-6.7204301075268827E-3"/>
                </c:manualLayout>
              </c:layout>
              <c:showVal val="1"/>
            </c:dLbl>
            <c:dLbl>
              <c:idx val="4"/>
              <c:layout>
                <c:manualLayout>
                  <c:x val="8.2712985938792425E-3"/>
                  <c:y val="-6.7204301075269425E-3"/>
                </c:manualLayout>
              </c:layout>
              <c:showVal val="1"/>
            </c:dLbl>
            <c:spPr>
              <a:noFill/>
              <a:ln w="19087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1"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прием Главы района </c:v>
                </c:pt>
                <c:pt idx="3">
                  <c:v>Обращения в справочную телефонную службу 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</c:v>
                </c:pt>
                <c:pt idx="1">
                  <c:v>2</c:v>
                </c:pt>
                <c:pt idx="2">
                  <c:v>2</c:v>
                </c:pt>
                <c:pt idx="3">
                  <c:v>0</c:v>
                </c:pt>
              </c:numCache>
            </c:numRef>
          </c:val>
        </c:ser>
        <c:shape val="cylinder"/>
        <c:axId val="83134336"/>
        <c:axId val="83135872"/>
        <c:axId val="0"/>
      </c:bar3DChart>
      <c:catAx>
        <c:axId val="83134336"/>
        <c:scaling>
          <c:orientation val="minMax"/>
        </c:scaling>
        <c:axPos val="b"/>
        <c:numFmt formatCode="\О\с\н\о\в\н\о\й" sourceLinked="0"/>
        <c:tickLblPos val="nextTo"/>
        <c:txPr>
          <a:bodyPr/>
          <a:lstStyle/>
          <a:p>
            <a:pPr>
              <a:defRPr sz="526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3135872"/>
        <c:crosses val="autoZero"/>
        <c:auto val="1"/>
        <c:lblAlgn val="ctr"/>
        <c:lblOffset val="100"/>
      </c:catAx>
      <c:valAx>
        <c:axId val="83135872"/>
        <c:scaling>
          <c:orientation val="minMax"/>
        </c:scaling>
        <c:axPos val="l"/>
        <c:majorGridlines/>
        <c:title>
          <c:tx>
            <c:rich>
              <a:bodyPr/>
              <a:lstStyle/>
              <a:p>
                <a:pPr>
                  <a:defRPr sz="751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1.0837888142542901E-2"/>
              <c:y val="0.28721359701502608"/>
            </c:manualLayout>
          </c:layout>
        </c:title>
        <c:numFmt formatCode="General" sourceLinked="1"/>
        <c:tickLblPos val="nextTo"/>
        <c:crossAx val="83134336"/>
        <c:crosses val="autoZero"/>
        <c:crossBetween val="between"/>
      </c:valAx>
      <c:spPr>
        <a:noFill/>
        <a:ln w="19087">
          <a:noFill/>
        </a:ln>
      </c:spPr>
    </c:plotArea>
    <c:legend>
      <c:legendPos val="r"/>
      <c:layout>
        <c:manualLayout>
          <c:xMode val="edge"/>
          <c:yMode val="edge"/>
          <c:x val="0.13700787401574802"/>
          <c:y val="0.93798433293524686"/>
          <c:w val="0.81102362204724432"/>
          <c:h val="5.6847559864785617E-2"/>
        </c:manualLayout>
      </c:layout>
      <c:txPr>
        <a:bodyPr/>
        <a:lstStyle/>
        <a:p>
          <a:pPr>
            <a:defRPr sz="789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849</Words>
  <Characters>4844</Characters>
  <Application>Microsoft Office Word</Application>
  <DocSecurity>0</DocSecurity>
  <Lines>40</Lines>
  <Paragraphs>11</Paragraphs>
  <ScaleCrop>false</ScaleCrop>
  <Company>Reanimator Extreme Edition</Company>
  <LinksUpToDate>false</LinksUpToDate>
  <CharactersWithSpaces>5682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Сельсовет</cp:lastModifiedBy>
  <cp:revision>3</cp:revision>
  <dcterms:created xsi:type="dcterms:W3CDTF">2020-07-29T08:00:00Z</dcterms:created>
  <dcterms:modified xsi:type="dcterms:W3CDTF">2020-07-29T08:00:00Z</dcterms:modified>
</cp:coreProperties>
</file>